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start"/>
        <w:rPr>
          <w:rFonts w:ascii="Cinzel" w:hAnsi="Cinzel"/>
          <w:b w:val="false"/>
          <w:i w:val="false"/>
          <w:caps w:val="false"/>
          <w:smallCaps w:val="false"/>
          <w:color w:val="214478"/>
        </w:rPr>
      </w:pPr>
      <w:r>
        <w:rPr>
          <w:rFonts w:ascii="Cinzel" w:hAnsi="Cinzel"/>
          <w:b w:val="false"/>
          <w:i w:val="false"/>
          <w:caps w:val="false"/>
          <w:smallCaps w:val="false"/>
          <w:color w:val="214478"/>
        </w:rPr>
        <w:t xml:space="preserve">Music Workshops in Dundee Schools </w:t>
      </w:r>
      <w:r>
        <w:rPr>
          <w:rFonts w:ascii="Cinzel" w:hAnsi="Cinzel"/>
          <w:b w:val="false"/>
          <w:i w:val="false"/>
          <w:caps w:val="false"/>
          <w:smallCaps w:val="false"/>
          <w:color w:val="214478"/>
        </w:rPr>
        <w:t>2002-2019</w:t>
      </w:r>
    </w:p>
    <w:p>
      <w:pPr>
        <w:pStyle w:val="BodyText"/>
        <w:widowControl/>
        <w:pBdr/>
        <w:bidi w:val="0"/>
        <w:spacing w:lineRule="atLeast" w:line="190" w:before="200" w:after="0"/>
        <w:ind w:hanging="0" w:start="0" w:end="0"/>
        <w:jc w:val="start"/>
        <w:rPr>
          <w:rFonts w:ascii="Roboto;sans-serif" w:hAnsi="Roboto;sans-serif"/>
          <w:b w:val="false"/>
          <w:i w:val="false"/>
          <w:caps w:val="false"/>
          <w:smallCaps w:val="false"/>
          <w:color w:val="214478"/>
          <w:spacing w:val="0"/>
          <w:sz w:val="16"/>
        </w:rPr>
      </w:pPr>
      <w:r>
        <w:rPr>
          <w:rFonts w:ascii="Roboto;sans-serif" w:hAnsi="Roboto;sans-serif"/>
          <w:b w:val="false"/>
          <w:i w:val="false"/>
          <w:caps w:val="false"/>
          <w:smallCaps w:val="false"/>
          <w:color w:val="214478"/>
          <w:spacing w:val="0"/>
          <w:sz w:val="16"/>
        </w:rPr>
        <w:t>Dundee Chamber Music has been sponsoring music workshops in Dundee schools since 2002.</w:t>
      </w:r>
    </w:p>
    <w:p>
      <w:pPr>
        <w:pStyle w:val="BodyText"/>
        <w:widowControl/>
        <w:pBdr/>
        <w:bidi w:val="0"/>
        <w:spacing w:lineRule="atLeast" w:line="190" w:before="200" w:after="0"/>
        <w:ind w:hanging="0" w:start="0" w:end="0"/>
        <w:jc w:val="start"/>
        <w:rPr>
          <w:rFonts w:ascii="Roboto;sans-serif" w:hAnsi="Roboto;sans-serif"/>
          <w:b w:val="false"/>
          <w:i w:val="false"/>
          <w:caps w:val="false"/>
          <w:smallCaps w:val="false"/>
          <w:color w:val="214478"/>
          <w:spacing w:val="0"/>
          <w:sz w:val="16"/>
        </w:rPr>
      </w:pPr>
      <w:r>
        <w:rPr>
          <w:rFonts w:ascii="Roboto;sans-serif" w:hAnsi="Roboto;sans-serif"/>
          <w:b w:val="false"/>
          <w:i w:val="false"/>
          <w:caps w:val="false"/>
          <w:smallCaps w:val="false"/>
          <w:color w:val="214478"/>
          <w:spacing w:val="0"/>
          <w:sz w:val="16"/>
        </w:rPr>
        <w:t>Every year one or two of our ensembles visit a local school to give the pupils a workshop in some of the aspects of playing a musical instrument and enjoying classical music. This can take the form of coaching individuals or small groups of pupils who have advanced beyond the beginners’ stage, or can be aimed at developing the ability to listen to and enjoy classical music. The aim of the workshop is agreed between the musicians and the school beforehand.</w:t>
      </w:r>
    </w:p>
    <w:p>
      <w:pPr>
        <w:pStyle w:val="BodyText"/>
        <w:widowControl/>
        <w:pBdr/>
        <w:bidi w:val="0"/>
        <w:spacing w:lineRule="atLeast" w:line="190" w:before="200" w:after="0"/>
        <w:ind w:hanging="0" w:start="0" w:end="0"/>
        <w:jc w:val="start"/>
        <w:rPr>
          <w:rFonts w:ascii="Roboto;sans-serif" w:hAnsi="Roboto;sans-serif"/>
          <w:b w:val="false"/>
          <w:i w:val="false"/>
          <w:caps w:val="false"/>
          <w:smallCaps w:val="false"/>
          <w:color w:val="214478"/>
          <w:spacing w:val="0"/>
          <w:sz w:val="16"/>
        </w:rPr>
      </w:pPr>
      <w:r>
        <w:rPr>
          <w:rFonts w:ascii="Roboto;sans-serif" w:hAnsi="Roboto;sans-serif"/>
          <w:b w:val="false"/>
          <w:i w:val="false"/>
          <w:caps w:val="false"/>
          <w:smallCaps w:val="false"/>
          <w:color w:val="214478"/>
          <w:spacing w:val="0"/>
          <w:sz w:val="16"/>
        </w:rPr>
        <w:t>In season 2014-2015 a workshop was given by Alison Green, bassoonist with the Scottish Chamber Orchestra under the auspices of SCO Connect, the Scottish Chamber Orchestra's Creative Learning Department working in partnership with Dundee Instrumental Service. On that occasion, instead of pupils from just one school being involved, wind players from a number of Dundee schools were guided not only on some aspects of playing a wind instrument but in ways of projecting oneself in front of an audience.</w:t>
      </w:r>
    </w:p>
    <w:p>
      <w:pPr>
        <w:pStyle w:val="BodyText"/>
        <w:widowControl/>
        <w:bidi w:val="0"/>
        <w:ind w:hanging="0" w:start="0" w:end="0"/>
        <w:jc w:val="center"/>
        <w:rPr/>
      </w:pPr>
      <w:r>
        <w:rPr>
          <w:caps w:val="false"/>
          <w:smallCaps w:val="false"/>
          <w:color w:val="214478"/>
          <w:spacing w:val="0"/>
        </w:rPr>
        <w:drawing>
          <wp:inline distT="0" distB="0" distL="0" distR="0">
            <wp:extent cx="1904365" cy="1800225"/>
            <wp:effectExtent l="0" t="0" r="0" b="0"/>
            <wp:docPr id="1" name="Image1" descr="" title="Alison Green taking the workshop in Feb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Alison Green taking the workshop in Feb 2015"/>
                    <pic:cNvPicPr>
                      <a:picLocks noChangeAspect="1" noChangeArrowheads="1"/>
                    </pic:cNvPicPr>
                  </pic:nvPicPr>
                  <pic:blipFill>
                    <a:blip r:embed="rId2"/>
                    <a:stretch>
                      <a:fillRect/>
                    </a:stretch>
                  </pic:blipFill>
                  <pic:spPr bwMode="auto">
                    <a:xfrm>
                      <a:off x="0" y="0"/>
                      <a:ext cx="1904365" cy="1800225"/>
                    </a:xfrm>
                    <a:prstGeom prst="rect">
                      <a:avLst/>
                    </a:prstGeom>
                  </pic:spPr>
                </pic:pic>
              </a:graphicData>
            </a:graphic>
          </wp:inline>
        </w:drawing>
      </w:r>
      <w:r>
        <w:rPr>
          <w:rFonts w:ascii="Roboto;sans-serif" w:hAnsi="Roboto;sans-serif"/>
          <w:b w:val="false"/>
          <w:i w:val="false"/>
          <w:caps w:val="false"/>
          <w:smallCaps w:val="false"/>
          <w:color w:val="214478"/>
          <w:spacing w:val="0"/>
          <w:sz w:val="16"/>
        </w:rPr>
        <w:br/>
      </w:r>
      <w:r>
        <w:rPr>
          <w:rStyle w:val="Emphasis"/>
          <w:rFonts w:ascii="Roboto;sans-serif" w:hAnsi="Roboto;sans-serif"/>
          <w:b w:val="false"/>
          <w:i w:val="false"/>
          <w:caps w:val="false"/>
          <w:smallCaps w:val="false"/>
          <w:color w:val="214478"/>
          <w:spacing w:val="0"/>
          <w:sz w:val="16"/>
        </w:rPr>
        <w:t>Alison Green of the SCO Wind Soloists showing how it's done</w:t>
      </w:r>
    </w:p>
    <w:p>
      <w:pPr>
        <w:pStyle w:val="BodyText"/>
        <w:widowControl/>
        <w:pBdr/>
        <w:bidi w:val="0"/>
        <w:spacing w:lineRule="atLeast" w:line="190" w:before="200" w:after="0"/>
        <w:ind w:hanging="0" w:start="0" w:end="0"/>
        <w:jc w:val="start"/>
        <w:rPr>
          <w:rFonts w:ascii="Roboto;sans-serif" w:hAnsi="Roboto;sans-serif"/>
          <w:b w:val="false"/>
          <w:i w:val="false"/>
          <w:caps w:val="false"/>
          <w:smallCaps w:val="false"/>
          <w:color w:val="214478"/>
          <w:spacing w:val="0"/>
          <w:sz w:val="16"/>
        </w:rPr>
      </w:pPr>
      <w:r>
        <w:rPr>
          <w:rFonts w:ascii="Roboto;sans-serif" w:hAnsi="Roboto;sans-serif"/>
          <w:b w:val="false"/>
          <w:i w:val="false"/>
          <w:caps w:val="false"/>
          <w:smallCaps w:val="false"/>
          <w:color w:val="214478"/>
          <w:spacing w:val="0"/>
          <w:sz w:val="16"/>
        </w:rPr>
        <w:t>Whatever the format, our artists have always regarded these workshops as important opportunities to enthuse school-age children in classical music. Meeting professional musicians shows the pupils what reward and real pleasure can be obtained from playing an instrument, both privately and socially as in an orchestra. For all pupils, even those who have never lifted an instrument, the control, the precision and the volume of sound produced by a small group of professional musicians can be a revelation.</w:t>
      </w:r>
    </w:p>
    <w:p>
      <w:pPr>
        <w:pStyle w:val="BodyText"/>
        <w:widowControl/>
        <w:pBdr/>
        <w:bidi w:val="0"/>
        <w:spacing w:lineRule="atLeast" w:line="190" w:before="200" w:after="0"/>
        <w:ind w:hanging="0" w:start="0" w:end="0"/>
        <w:jc w:val="start"/>
        <w:rPr>
          <w:rFonts w:ascii="Roboto;sans-serif" w:hAnsi="Roboto;sans-serif"/>
          <w:b w:val="false"/>
          <w:i w:val="false"/>
          <w:caps w:val="false"/>
          <w:smallCaps w:val="false"/>
          <w:color w:val="214478"/>
          <w:spacing w:val="0"/>
          <w:sz w:val="16"/>
        </w:rPr>
      </w:pPr>
      <w:r>
        <w:rPr>
          <w:rFonts w:ascii="Roboto;sans-serif" w:hAnsi="Roboto;sans-serif"/>
          <w:b w:val="false"/>
          <w:i w:val="false"/>
          <w:caps w:val="false"/>
          <w:smallCaps w:val="false"/>
          <w:color w:val="214478"/>
          <w:spacing w:val="0"/>
          <w:sz w:val="16"/>
        </w:rPr>
        <w:t>So important do many performers regard this educational role that most ensembles, and soloists, have designed workshops specifically for schools. The schools are also very enthusiastic: over the last decade all but two secondary schools in Dundee as well as some in Angus have accepted one or more of our music workshops, and these occasions have proved popular with pupils and appreciated by the music staff of the schools.</w:t>
      </w:r>
    </w:p>
    <w:p>
      <w:pPr>
        <w:pStyle w:val="BodyText"/>
        <w:widowControl/>
        <w:pBdr/>
        <w:bidi w:val="0"/>
        <w:spacing w:lineRule="atLeast" w:line="190" w:before="200" w:after="0"/>
        <w:ind w:hanging="0" w:start="0" w:end="0"/>
        <w:jc w:val="start"/>
        <w:rPr>
          <w:rFonts w:ascii="Roboto;sans-serif" w:hAnsi="Roboto;sans-serif"/>
          <w:b w:val="false"/>
          <w:i w:val="false"/>
          <w:caps w:val="false"/>
          <w:smallCaps w:val="false"/>
          <w:color w:val="214478"/>
          <w:spacing w:val="0"/>
          <w:sz w:val="16"/>
        </w:rPr>
      </w:pPr>
      <w:r>
        <w:rPr>
          <w:rFonts w:ascii="Roboto;sans-serif" w:hAnsi="Roboto;sans-serif"/>
          <w:b w:val="false"/>
          <w:i w:val="false"/>
          <w:caps w:val="false"/>
          <w:smallCaps w:val="false"/>
          <w:color w:val="214478"/>
          <w:spacing w:val="0"/>
          <w:sz w:val="16"/>
        </w:rPr>
        <w:t>Dundee City Council abolished music tuition charges in 2013 and at present one in eight city pupils is learning to play an instrument. With Dundee Education Department playing such a major role by providing free music lessons, it is to be hoped that Dundee’s pupils of today will become tomorrow’s enthusiastic music-lovers and performers.</w:t>
      </w:r>
    </w:p>
    <w:p>
      <w:pPr>
        <w:pStyle w:val="BodyText"/>
        <w:bidi w:val="0"/>
        <w:spacing w:lineRule="auto" w:line="276" w:before="0" w:after="140"/>
        <w:jc w:val="start"/>
        <w:rPr/>
      </w:pPr>
      <w:r>
        <w:rPr/>
      </w:r>
    </w:p>
    <w:p>
      <w:pPr>
        <w:pStyle w:val="Heading3"/>
        <w:widowControl/>
        <w:pBdr/>
        <w:bidi w:val="0"/>
        <w:spacing w:before="0" w:after="0"/>
        <w:ind w:hanging="0" w:start="0" w:end="0"/>
        <w:jc w:val="start"/>
        <w:rPr>
          <w:rFonts w:ascii="Cinzel" w:hAnsi="Cinzel"/>
          <w:b w:val="false"/>
          <w:i w:val="false"/>
          <w:caps w:val="false"/>
          <w:smallCaps w:val="false"/>
          <w:color w:val="214478"/>
          <w:sz w:val="16"/>
        </w:rPr>
      </w:pPr>
      <w:r>
        <w:rPr>
          <w:rFonts w:ascii="Cinzel" w:hAnsi="Cinzel"/>
          <w:b w:val="false"/>
          <w:i w:val="false"/>
          <w:caps w:val="false"/>
          <w:smallCaps w:val="false"/>
          <w:color w:val="214478"/>
          <w:sz w:val="16"/>
        </w:rPr>
        <w:t>School Workshops held since the 2002 - 2003 season</w:t>
      </w:r>
    </w:p>
    <w:tbl>
      <w:tblPr>
        <w:tblW w:w="9638" w:type="dxa"/>
        <w:jc w:val="start"/>
        <w:tblInd w:w="0" w:type="dxa"/>
        <w:tblLayout w:type="fixed"/>
        <w:tblCellMar>
          <w:top w:w="0" w:type="dxa"/>
          <w:start w:w="0" w:type="dxa"/>
          <w:bottom w:w="0" w:type="dxa"/>
          <w:end w:w="0" w:type="dxa"/>
        </w:tblCellMar>
      </w:tblPr>
      <w:tblGrid>
        <w:gridCol w:w="1942"/>
        <w:gridCol w:w="1929"/>
        <w:gridCol w:w="5767"/>
      </w:tblGrid>
      <w:tr>
        <w:trPr/>
        <w:tc>
          <w:tcPr>
            <w:tcW w:w="1942" w:type="dxa"/>
            <w:tcBorders/>
            <w:vAlign w:val="center"/>
          </w:tcPr>
          <w:p>
            <w:pPr>
              <w:pStyle w:val="Heading3"/>
              <w:pBdr/>
              <w:bidi w:val="0"/>
              <w:spacing w:before="0" w:after="0"/>
              <w:ind w:hanging="0" w:start="0" w:end="0"/>
              <w:jc w:val="start"/>
              <w:rPr>
                <w:rFonts w:ascii="Cinzel" w:hAnsi="Cinzel"/>
                <w:color w:val="214478"/>
                <w:sz w:val="16"/>
              </w:rPr>
            </w:pPr>
            <w:r>
              <w:rPr>
                <w:rFonts w:ascii="Cinzel" w:hAnsi="Cinzel"/>
                <w:color w:val="214478"/>
                <w:sz w:val="16"/>
              </w:rPr>
              <w:t>Date</w:t>
            </w:r>
          </w:p>
        </w:tc>
        <w:tc>
          <w:tcPr>
            <w:tcW w:w="1929" w:type="dxa"/>
            <w:tcBorders/>
            <w:vAlign w:val="center"/>
          </w:tcPr>
          <w:p>
            <w:pPr>
              <w:pStyle w:val="Heading3"/>
              <w:pBdr/>
              <w:bidi w:val="0"/>
              <w:spacing w:before="0" w:after="0"/>
              <w:ind w:hanging="0" w:start="0" w:end="0"/>
              <w:jc w:val="start"/>
              <w:rPr>
                <w:rFonts w:ascii="Cinzel" w:hAnsi="Cinzel"/>
                <w:color w:val="214478"/>
                <w:sz w:val="16"/>
              </w:rPr>
            </w:pPr>
            <w:r>
              <w:rPr>
                <w:rFonts w:ascii="Cinzel" w:hAnsi="Cinzel"/>
                <w:color w:val="214478"/>
                <w:sz w:val="16"/>
              </w:rPr>
              <w:t>School</w:t>
            </w:r>
          </w:p>
        </w:tc>
        <w:tc>
          <w:tcPr>
            <w:tcW w:w="5767" w:type="dxa"/>
            <w:tcBorders/>
            <w:vAlign w:val="center"/>
          </w:tcPr>
          <w:p>
            <w:pPr>
              <w:pStyle w:val="Heading3"/>
              <w:pBdr/>
              <w:bidi w:val="0"/>
              <w:spacing w:before="0" w:after="0"/>
              <w:ind w:hanging="0" w:start="0" w:end="0"/>
              <w:jc w:val="start"/>
              <w:rPr>
                <w:rFonts w:ascii="Cinzel" w:hAnsi="Cinzel"/>
                <w:color w:val="214478"/>
                <w:sz w:val="16"/>
              </w:rPr>
            </w:pPr>
            <w:r>
              <w:rPr>
                <w:rFonts w:ascii="Cinzel" w:hAnsi="Cinzel"/>
                <w:color w:val="214478"/>
                <w:sz w:val="16"/>
              </w:rPr>
              <w:t>Ensemble</w:t>
            </w:r>
          </w:p>
        </w:tc>
      </w:tr>
      <w:tr>
        <w:trPr/>
        <w:tc>
          <w:tcPr>
            <w:tcW w:w="1942" w:type="dxa"/>
            <w:tcBorders/>
            <w:vAlign w:val="center"/>
          </w:tcPr>
          <w:p>
            <w:pPr>
              <w:pStyle w:val="TableContents"/>
              <w:bidi w:val="0"/>
              <w:spacing w:before="0" w:after="0"/>
              <w:ind w:hanging="0" w:start="0" w:end="0"/>
              <w:jc w:val="start"/>
              <w:rPr/>
            </w:pPr>
            <w:r>
              <w:rPr/>
              <w:t>Nov. 2002</w:t>
            </w:r>
          </w:p>
        </w:tc>
        <w:tc>
          <w:tcPr>
            <w:tcW w:w="1929" w:type="dxa"/>
            <w:tcBorders/>
            <w:vAlign w:val="center"/>
          </w:tcPr>
          <w:p>
            <w:pPr>
              <w:pStyle w:val="TableContents"/>
              <w:bidi w:val="0"/>
              <w:spacing w:before="0" w:after="0"/>
              <w:ind w:hanging="0" w:start="0" w:end="0"/>
              <w:jc w:val="start"/>
              <w:rPr/>
            </w:pPr>
            <w:r>
              <w:rPr/>
              <w:t>Grove Academy</w:t>
            </w:r>
          </w:p>
        </w:tc>
        <w:tc>
          <w:tcPr>
            <w:tcW w:w="5767" w:type="dxa"/>
            <w:tcBorders/>
            <w:vAlign w:val="center"/>
          </w:tcPr>
          <w:p>
            <w:pPr>
              <w:pStyle w:val="TableContents"/>
              <w:bidi w:val="0"/>
              <w:spacing w:before="0" w:after="0"/>
              <w:ind w:hanging="0" w:start="0" w:end="0"/>
              <w:jc w:val="start"/>
              <w:rPr/>
            </w:pPr>
            <w:r>
              <w:rPr/>
              <w:t>Douglas Boyd (oboe) &amp; Susan Tomes (pno)</w:t>
            </w:r>
          </w:p>
        </w:tc>
      </w:tr>
      <w:tr>
        <w:trPr/>
        <w:tc>
          <w:tcPr>
            <w:tcW w:w="1942" w:type="dxa"/>
            <w:tcBorders/>
            <w:vAlign w:val="center"/>
          </w:tcPr>
          <w:p>
            <w:pPr>
              <w:pStyle w:val="TableContents"/>
              <w:bidi w:val="0"/>
              <w:spacing w:before="0" w:after="0"/>
              <w:ind w:hanging="0" w:start="0" w:end="0"/>
              <w:jc w:val="start"/>
              <w:rPr/>
            </w:pPr>
            <w:r>
              <w:rPr/>
              <w:t>Jan. 2003</w:t>
            </w:r>
          </w:p>
        </w:tc>
        <w:tc>
          <w:tcPr>
            <w:tcW w:w="1929" w:type="dxa"/>
            <w:tcBorders/>
            <w:vAlign w:val="center"/>
          </w:tcPr>
          <w:p>
            <w:pPr>
              <w:pStyle w:val="TableContents"/>
              <w:bidi w:val="0"/>
              <w:spacing w:before="0" w:after="0"/>
              <w:ind w:hanging="0" w:start="0" w:end="0"/>
              <w:jc w:val="start"/>
              <w:rPr/>
            </w:pPr>
            <w:r>
              <w:rPr/>
              <w:t>Dundee High</w:t>
            </w:r>
          </w:p>
        </w:tc>
        <w:tc>
          <w:tcPr>
            <w:tcW w:w="5767" w:type="dxa"/>
            <w:tcBorders/>
            <w:vAlign w:val="center"/>
          </w:tcPr>
          <w:p>
            <w:pPr>
              <w:pStyle w:val="TableContents"/>
              <w:bidi w:val="0"/>
              <w:spacing w:before="0" w:after="0"/>
              <w:ind w:hanging="0" w:start="0" w:end="0"/>
              <w:jc w:val="start"/>
              <w:rPr/>
            </w:pPr>
            <w:r>
              <w:rPr/>
              <w:t>Florilegium (flute, violin &amp; cello)</w:t>
            </w:r>
          </w:p>
        </w:tc>
      </w:tr>
      <w:tr>
        <w:trPr/>
        <w:tc>
          <w:tcPr>
            <w:tcW w:w="1942" w:type="dxa"/>
            <w:tcBorders/>
            <w:vAlign w:val="center"/>
          </w:tcPr>
          <w:p>
            <w:pPr>
              <w:pStyle w:val="TableContents"/>
              <w:bidi w:val="0"/>
              <w:spacing w:before="0" w:after="0"/>
              <w:ind w:hanging="0" w:start="0" w:end="0"/>
              <w:jc w:val="start"/>
              <w:rPr/>
            </w:pPr>
            <w:r>
              <w:rPr/>
              <w:t>Nov. 2003</w:t>
            </w:r>
          </w:p>
        </w:tc>
        <w:tc>
          <w:tcPr>
            <w:tcW w:w="1929" w:type="dxa"/>
            <w:tcBorders/>
            <w:vAlign w:val="center"/>
          </w:tcPr>
          <w:p>
            <w:pPr>
              <w:pStyle w:val="TableContents"/>
              <w:bidi w:val="0"/>
              <w:spacing w:before="0" w:after="0"/>
              <w:ind w:hanging="0" w:start="0" w:end="0"/>
              <w:jc w:val="start"/>
              <w:rPr/>
            </w:pPr>
            <w:r>
              <w:rPr/>
              <w:t>Monifieth High</w:t>
            </w:r>
          </w:p>
        </w:tc>
        <w:tc>
          <w:tcPr>
            <w:tcW w:w="5767" w:type="dxa"/>
            <w:tcBorders/>
            <w:vAlign w:val="center"/>
          </w:tcPr>
          <w:p>
            <w:pPr>
              <w:pStyle w:val="TableContents"/>
              <w:bidi w:val="0"/>
              <w:spacing w:before="0" w:after="0"/>
              <w:ind w:hanging="0" w:start="0" w:end="0"/>
              <w:jc w:val="start"/>
              <w:rPr/>
            </w:pPr>
            <w:r>
              <w:rPr/>
              <w:t>Pavao String Quartet</w:t>
            </w:r>
          </w:p>
        </w:tc>
      </w:tr>
      <w:tr>
        <w:trPr/>
        <w:tc>
          <w:tcPr>
            <w:tcW w:w="1942" w:type="dxa"/>
            <w:tcBorders/>
            <w:vAlign w:val="center"/>
          </w:tcPr>
          <w:p>
            <w:pPr>
              <w:pStyle w:val="TableContents"/>
              <w:bidi w:val="0"/>
              <w:spacing w:before="0" w:after="0"/>
              <w:ind w:hanging="0" w:start="0" w:end="0"/>
              <w:jc w:val="start"/>
              <w:rPr/>
            </w:pPr>
            <w:r>
              <w:rPr/>
              <w:t>Feb. 2004</w:t>
            </w:r>
          </w:p>
        </w:tc>
        <w:tc>
          <w:tcPr>
            <w:tcW w:w="1929" w:type="dxa"/>
            <w:tcBorders/>
            <w:vAlign w:val="center"/>
          </w:tcPr>
          <w:p>
            <w:pPr>
              <w:pStyle w:val="TableContents"/>
              <w:bidi w:val="0"/>
              <w:spacing w:before="0" w:after="0"/>
              <w:ind w:hanging="0" w:start="0" w:end="0"/>
              <w:jc w:val="start"/>
              <w:rPr/>
            </w:pPr>
            <w:r>
              <w:rPr/>
              <w:t>Lawside Academy</w:t>
            </w:r>
          </w:p>
        </w:tc>
        <w:tc>
          <w:tcPr>
            <w:tcW w:w="5767" w:type="dxa"/>
            <w:tcBorders/>
            <w:vAlign w:val="center"/>
          </w:tcPr>
          <w:p>
            <w:pPr>
              <w:pStyle w:val="TableContents"/>
              <w:bidi w:val="0"/>
              <w:spacing w:before="0" w:after="0"/>
              <w:ind w:hanging="0" w:start="0" w:end="0"/>
              <w:jc w:val="start"/>
              <w:rPr/>
            </w:pPr>
            <w:r>
              <w:rPr/>
              <w:t>Academia Wind Quintet of Prague</w:t>
            </w:r>
          </w:p>
        </w:tc>
      </w:tr>
      <w:tr>
        <w:trPr/>
        <w:tc>
          <w:tcPr>
            <w:tcW w:w="1942" w:type="dxa"/>
            <w:tcBorders/>
            <w:vAlign w:val="center"/>
          </w:tcPr>
          <w:p>
            <w:pPr>
              <w:pStyle w:val="TableContents"/>
              <w:bidi w:val="0"/>
              <w:spacing w:before="0" w:after="0"/>
              <w:ind w:hanging="0" w:start="0" w:end="0"/>
              <w:jc w:val="start"/>
              <w:rPr/>
            </w:pPr>
            <w:r>
              <w:rPr/>
              <w:t>Nov. 2004</w:t>
            </w:r>
          </w:p>
        </w:tc>
        <w:tc>
          <w:tcPr>
            <w:tcW w:w="1929" w:type="dxa"/>
            <w:tcBorders/>
            <w:vAlign w:val="center"/>
          </w:tcPr>
          <w:p>
            <w:pPr>
              <w:pStyle w:val="TableContents"/>
              <w:bidi w:val="0"/>
              <w:spacing w:before="0" w:after="0"/>
              <w:ind w:hanging="0" w:start="0" w:end="0"/>
              <w:jc w:val="start"/>
              <w:rPr/>
            </w:pPr>
            <w:r>
              <w:rPr/>
              <w:t>Morgan Academy,</w:t>
              <w:br/>
              <w:t>Baldragon Academy</w:t>
            </w:r>
          </w:p>
        </w:tc>
        <w:tc>
          <w:tcPr>
            <w:tcW w:w="5767" w:type="dxa"/>
            <w:tcBorders/>
            <w:vAlign w:val="center"/>
          </w:tcPr>
          <w:p>
            <w:pPr>
              <w:pStyle w:val="TableContents"/>
              <w:bidi w:val="0"/>
              <w:spacing w:before="0" w:after="0"/>
              <w:ind w:hanging="0" w:start="0" w:end="0"/>
              <w:jc w:val="start"/>
              <w:rPr/>
            </w:pPr>
            <w:r>
              <w:rPr/>
              <w:t>Dante String Quartet</w:t>
            </w:r>
          </w:p>
        </w:tc>
      </w:tr>
      <w:tr>
        <w:trPr/>
        <w:tc>
          <w:tcPr>
            <w:tcW w:w="1942" w:type="dxa"/>
            <w:tcBorders/>
            <w:vAlign w:val="center"/>
          </w:tcPr>
          <w:p>
            <w:pPr>
              <w:pStyle w:val="TableContents"/>
              <w:bidi w:val="0"/>
              <w:spacing w:before="0" w:after="0"/>
              <w:ind w:hanging="0" w:start="0" w:end="0"/>
              <w:jc w:val="start"/>
              <w:rPr/>
            </w:pPr>
            <w:r>
              <w:rPr/>
              <w:t>Jan. 2005</w:t>
            </w:r>
          </w:p>
        </w:tc>
        <w:tc>
          <w:tcPr>
            <w:tcW w:w="1929" w:type="dxa"/>
            <w:tcBorders/>
            <w:vAlign w:val="center"/>
          </w:tcPr>
          <w:p>
            <w:pPr>
              <w:pStyle w:val="TableContents"/>
              <w:bidi w:val="0"/>
              <w:spacing w:before="0" w:after="0"/>
              <w:ind w:hanging="0" w:start="0" w:end="0"/>
              <w:jc w:val="start"/>
              <w:rPr/>
            </w:pPr>
            <w:r>
              <w:rPr/>
              <w:t>Carnoustie High</w:t>
            </w:r>
          </w:p>
        </w:tc>
        <w:tc>
          <w:tcPr>
            <w:tcW w:w="5767" w:type="dxa"/>
            <w:tcBorders/>
            <w:vAlign w:val="center"/>
          </w:tcPr>
          <w:p>
            <w:pPr>
              <w:pStyle w:val="TableContents"/>
              <w:bidi w:val="0"/>
              <w:spacing w:before="0" w:after="0"/>
              <w:ind w:hanging="0" w:start="0" w:end="0"/>
              <w:jc w:val="start"/>
              <w:rPr/>
            </w:pPr>
            <w:r>
              <w:rPr/>
              <w:t>St Petersburg String Quartet</w:t>
            </w:r>
          </w:p>
        </w:tc>
      </w:tr>
      <w:tr>
        <w:trPr/>
        <w:tc>
          <w:tcPr>
            <w:tcW w:w="1942" w:type="dxa"/>
            <w:tcBorders/>
            <w:vAlign w:val="center"/>
          </w:tcPr>
          <w:p>
            <w:pPr>
              <w:pStyle w:val="TableContents"/>
              <w:bidi w:val="0"/>
              <w:spacing w:before="0" w:after="0"/>
              <w:ind w:hanging="0" w:start="0" w:end="0"/>
              <w:jc w:val="start"/>
              <w:rPr/>
            </w:pPr>
            <w:r>
              <w:rPr/>
              <w:t>Jan. 2006</w:t>
            </w:r>
          </w:p>
        </w:tc>
        <w:tc>
          <w:tcPr>
            <w:tcW w:w="1929" w:type="dxa"/>
            <w:tcBorders/>
            <w:vAlign w:val="center"/>
          </w:tcPr>
          <w:p>
            <w:pPr>
              <w:pStyle w:val="TableContents"/>
              <w:bidi w:val="0"/>
              <w:spacing w:before="0" w:after="0"/>
              <w:ind w:hanging="0" w:start="0" w:end="0"/>
              <w:jc w:val="start"/>
              <w:rPr/>
            </w:pPr>
            <w:r>
              <w:rPr/>
              <w:t>St Saviour’s High</w:t>
            </w:r>
          </w:p>
        </w:tc>
        <w:tc>
          <w:tcPr>
            <w:tcW w:w="5767" w:type="dxa"/>
            <w:tcBorders/>
            <w:vAlign w:val="center"/>
          </w:tcPr>
          <w:p>
            <w:pPr>
              <w:pStyle w:val="TableContents"/>
              <w:bidi w:val="0"/>
              <w:spacing w:before="0" w:after="0"/>
              <w:ind w:hanging="0" w:start="0" w:end="0"/>
              <w:jc w:val="start"/>
              <w:rPr/>
            </w:pPr>
            <w:r>
              <w:rPr/>
              <w:t>Olivier Ensemble (clarinet, cello &amp; piano)</w:t>
            </w:r>
          </w:p>
        </w:tc>
      </w:tr>
      <w:tr>
        <w:trPr/>
        <w:tc>
          <w:tcPr>
            <w:tcW w:w="1942" w:type="dxa"/>
            <w:tcBorders/>
            <w:vAlign w:val="center"/>
          </w:tcPr>
          <w:p>
            <w:pPr>
              <w:pStyle w:val="TableContents"/>
              <w:bidi w:val="0"/>
              <w:spacing w:before="0" w:after="0"/>
              <w:ind w:hanging="0" w:start="0" w:end="0"/>
              <w:jc w:val="start"/>
              <w:rPr/>
            </w:pPr>
            <w:r>
              <w:rPr/>
              <w:t>Mar. 2006</w:t>
            </w:r>
          </w:p>
        </w:tc>
        <w:tc>
          <w:tcPr>
            <w:tcW w:w="1929" w:type="dxa"/>
            <w:tcBorders/>
            <w:vAlign w:val="center"/>
          </w:tcPr>
          <w:p>
            <w:pPr>
              <w:pStyle w:val="TableContents"/>
              <w:bidi w:val="0"/>
              <w:spacing w:before="0" w:after="0"/>
              <w:ind w:hanging="0" w:start="0" w:end="0"/>
              <w:jc w:val="start"/>
              <w:rPr/>
            </w:pPr>
            <w:r>
              <w:rPr/>
              <w:t>St John’s High</w:t>
            </w:r>
          </w:p>
        </w:tc>
        <w:tc>
          <w:tcPr>
            <w:tcW w:w="5767" w:type="dxa"/>
            <w:tcBorders/>
            <w:vAlign w:val="center"/>
          </w:tcPr>
          <w:p>
            <w:pPr>
              <w:pStyle w:val="TableContents"/>
              <w:bidi w:val="0"/>
              <w:spacing w:before="0" w:after="0"/>
              <w:ind w:hanging="0" w:start="0" w:end="0"/>
              <w:jc w:val="start"/>
              <w:rPr/>
            </w:pPr>
            <w:r>
              <w:rPr/>
              <w:t>Emperor String Quartet</w:t>
            </w:r>
          </w:p>
        </w:tc>
      </w:tr>
      <w:tr>
        <w:trPr/>
        <w:tc>
          <w:tcPr>
            <w:tcW w:w="1942" w:type="dxa"/>
            <w:tcBorders/>
            <w:vAlign w:val="center"/>
          </w:tcPr>
          <w:p>
            <w:pPr>
              <w:pStyle w:val="TableContents"/>
              <w:bidi w:val="0"/>
              <w:spacing w:before="0" w:after="0"/>
              <w:ind w:hanging="0" w:start="0" w:end="0"/>
              <w:jc w:val="start"/>
              <w:rPr/>
            </w:pPr>
            <w:r>
              <w:rPr/>
              <w:t>Jan. 2007</w:t>
            </w:r>
          </w:p>
        </w:tc>
        <w:tc>
          <w:tcPr>
            <w:tcW w:w="1929" w:type="dxa"/>
            <w:tcBorders/>
            <w:vAlign w:val="center"/>
          </w:tcPr>
          <w:p>
            <w:pPr>
              <w:pStyle w:val="TableContents"/>
              <w:bidi w:val="0"/>
              <w:spacing w:before="0" w:after="0"/>
              <w:ind w:hanging="0" w:start="0" w:end="0"/>
              <w:jc w:val="start"/>
              <w:rPr/>
            </w:pPr>
            <w:r>
              <w:rPr/>
              <w:t>Harris Academy,</w:t>
              <w:br/>
              <w:t>Grove Academy</w:t>
            </w:r>
          </w:p>
        </w:tc>
        <w:tc>
          <w:tcPr>
            <w:tcW w:w="5767" w:type="dxa"/>
            <w:tcBorders/>
            <w:vAlign w:val="center"/>
          </w:tcPr>
          <w:p>
            <w:pPr>
              <w:pStyle w:val="TableContents"/>
              <w:bidi w:val="0"/>
              <w:spacing w:before="0" w:after="0"/>
              <w:ind w:hanging="0" w:start="0" w:end="0"/>
              <w:jc w:val="start"/>
              <w:rPr/>
            </w:pPr>
            <w:r>
              <w:rPr/>
              <w:t>Carducci String Quartet</w:t>
            </w:r>
          </w:p>
        </w:tc>
      </w:tr>
      <w:tr>
        <w:trPr/>
        <w:tc>
          <w:tcPr>
            <w:tcW w:w="1942" w:type="dxa"/>
            <w:tcBorders/>
            <w:vAlign w:val="center"/>
          </w:tcPr>
          <w:p>
            <w:pPr>
              <w:pStyle w:val="TableContents"/>
              <w:bidi w:val="0"/>
              <w:spacing w:before="0" w:after="0"/>
              <w:ind w:hanging="0" w:start="0" w:end="0"/>
              <w:jc w:val="start"/>
              <w:rPr/>
            </w:pPr>
            <w:r>
              <w:rPr/>
              <w:t>Jan. 2008</w:t>
            </w:r>
          </w:p>
        </w:tc>
        <w:tc>
          <w:tcPr>
            <w:tcW w:w="1929" w:type="dxa"/>
            <w:tcBorders/>
            <w:vAlign w:val="center"/>
          </w:tcPr>
          <w:p>
            <w:pPr>
              <w:pStyle w:val="TableContents"/>
              <w:bidi w:val="0"/>
              <w:spacing w:before="0" w:after="0"/>
              <w:ind w:hanging="0" w:start="0" w:end="0"/>
              <w:jc w:val="start"/>
              <w:rPr/>
            </w:pPr>
            <w:r>
              <w:rPr/>
              <w:t>Menzieshill High</w:t>
            </w:r>
          </w:p>
        </w:tc>
        <w:tc>
          <w:tcPr>
            <w:tcW w:w="5767" w:type="dxa"/>
            <w:tcBorders/>
            <w:vAlign w:val="center"/>
          </w:tcPr>
          <w:p>
            <w:pPr>
              <w:pStyle w:val="TableContents"/>
              <w:bidi w:val="0"/>
              <w:spacing w:before="0" w:after="0"/>
              <w:ind w:hanging="0" w:start="0" w:end="0"/>
              <w:jc w:val="start"/>
              <w:rPr/>
            </w:pPr>
            <w:r>
              <w:rPr/>
              <w:t>Royal String Quartet</w:t>
            </w:r>
          </w:p>
        </w:tc>
      </w:tr>
      <w:tr>
        <w:trPr/>
        <w:tc>
          <w:tcPr>
            <w:tcW w:w="1942" w:type="dxa"/>
            <w:tcBorders/>
            <w:vAlign w:val="center"/>
          </w:tcPr>
          <w:p>
            <w:pPr>
              <w:pStyle w:val="TableContents"/>
              <w:bidi w:val="0"/>
              <w:spacing w:before="0" w:after="0"/>
              <w:ind w:hanging="0" w:start="0" w:end="0"/>
              <w:jc w:val="start"/>
              <w:rPr/>
            </w:pPr>
            <w:r>
              <w:rPr/>
              <w:t>Feb. 2009</w:t>
            </w:r>
          </w:p>
        </w:tc>
        <w:tc>
          <w:tcPr>
            <w:tcW w:w="1929" w:type="dxa"/>
            <w:tcBorders/>
            <w:vAlign w:val="center"/>
          </w:tcPr>
          <w:p>
            <w:pPr>
              <w:pStyle w:val="TableContents"/>
              <w:bidi w:val="0"/>
              <w:spacing w:before="0" w:after="0"/>
              <w:ind w:hanging="0" w:start="0" w:end="0"/>
              <w:jc w:val="start"/>
              <w:rPr/>
            </w:pPr>
            <w:r>
              <w:rPr/>
              <w:t>Baldragon Academy</w:t>
            </w:r>
          </w:p>
        </w:tc>
        <w:tc>
          <w:tcPr>
            <w:tcW w:w="5767" w:type="dxa"/>
            <w:tcBorders/>
            <w:vAlign w:val="center"/>
          </w:tcPr>
          <w:p>
            <w:pPr>
              <w:pStyle w:val="TableContents"/>
              <w:bidi w:val="0"/>
              <w:spacing w:before="0" w:after="0"/>
              <w:ind w:hanging="0" w:start="0" w:end="0"/>
              <w:jc w:val="start"/>
              <w:rPr/>
            </w:pPr>
            <w:r>
              <w:rPr/>
              <w:t>London Concertante (wind members)</w:t>
            </w:r>
          </w:p>
        </w:tc>
      </w:tr>
      <w:tr>
        <w:trPr/>
        <w:tc>
          <w:tcPr>
            <w:tcW w:w="1942" w:type="dxa"/>
            <w:tcBorders/>
            <w:vAlign w:val="center"/>
          </w:tcPr>
          <w:p>
            <w:pPr>
              <w:pStyle w:val="TableContents"/>
              <w:bidi w:val="0"/>
              <w:spacing w:before="0" w:after="0"/>
              <w:ind w:hanging="0" w:start="0" w:end="0"/>
              <w:jc w:val="start"/>
              <w:rPr/>
            </w:pPr>
            <w:r>
              <w:rPr/>
              <w:t>Nov. 2009</w:t>
            </w:r>
          </w:p>
        </w:tc>
        <w:tc>
          <w:tcPr>
            <w:tcW w:w="1929" w:type="dxa"/>
            <w:tcBorders/>
            <w:vAlign w:val="center"/>
          </w:tcPr>
          <w:p>
            <w:pPr>
              <w:pStyle w:val="TableContents"/>
              <w:bidi w:val="0"/>
              <w:spacing w:before="0" w:after="0"/>
              <w:ind w:hanging="0" w:start="0" w:end="0"/>
              <w:jc w:val="start"/>
              <w:rPr/>
            </w:pPr>
            <w:r>
              <w:rPr/>
              <w:t>Morgan Academy</w:t>
            </w:r>
          </w:p>
        </w:tc>
        <w:tc>
          <w:tcPr>
            <w:tcW w:w="5767" w:type="dxa"/>
            <w:tcBorders/>
            <w:vAlign w:val="center"/>
          </w:tcPr>
          <w:p>
            <w:pPr>
              <w:pStyle w:val="TableContents"/>
              <w:bidi w:val="0"/>
              <w:spacing w:before="0" w:after="0"/>
              <w:ind w:hanging="0" w:start="0" w:end="0"/>
              <w:jc w:val="start"/>
              <w:rPr/>
            </w:pPr>
            <w:r>
              <w:rPr/>
              <w:t>Sarah Francis (oboe) &amp; Tagore String Trio</w:t>
            </w:r>
          </w:p>
        </w:tc>
      </w:tr>
      <w:tr>
        <w:trPr/>
        <w:tc>
          <w:tcPr>
            <w:tcW w:w="1942" w:type="dxa"/>
            <w:tcBorders/>
            <w:vAlign w:val="center"/>
          </w:tcPr>
          <w:p>
            <w:pPr>
              <w:pStyle w:val="TableContents"/>
              <w:bidi w:val="0"/>
              <w:spacing w:before="0" w:after="0"/>
              <w:ind w:hanging="0" w:start="0" w:end="0"/>
              <w:jc w:val="start"/>
              <w:rPr/>
            </w:pPr>
            <w:r>
              <w:rPr/>
              <w:t>Feb. 2010</w:t>
            </w:r>
          </w:p>
        </w:tc>
        <w:tc>
          <w:tcPr>
            <w:tcW w:w="1929" w:type="dxa"/>
            <w:tcBorders/>
            <w:vAlign w:val="center"/>
          </w:tcPr>
          <w:p>
            <w:pPr>
              <w:pStyle w:val="TableContents"/>
              <w:bidi w:val="0"/>
              <w:spacing w:before="0" w:after="0"/>
              <w:ind w:hanging="0" w:start="0" w:end="0"/>
              <w:jc w:val="start"/>
              <w:rPr/>
            </w:pPr>
            <w:r>
              <w:rPr/>
              <w:t>Carnoustie High</w:t>
            </w:r>
          </w:p>
        </w:tc>
        <w:tc>
          <w:tcPr>
            <w:tcW w:w="5767" w:type="dxa"/>
            <w:tcBorders/>
            <w:vAlign w:val="center"/>
          </w:tcPr>
          <w:p>
            <w:pPr>
              <w:pStyle w:val="TableContents"/>
              <w:bidi w:val="0"/>
              <w:spacing w:before="0" w:after="0"/>
              <w:ind w:hanging="0" w:start="0" w:end="0"/>
              <w:jc w:val="start"/>
              <w:rPr/>
            </w:pPr>
            <w:r>
              <w:rPr/>
              <w:t>Carducci String Quartet</w:t>
            </w:r>
          </w:p>
        </w:tc>
      </w:tr>
      <w:tr>
        <w:trPr/>
        <w:tc>
          <w:tcPr>
            <w:tcW w:w="1942" w:type="dxa"/>
            <w:tcBorders/>
            <w:vAlign w:val="center"/>
          </w:tcPr>
          <w:p>
            <w:pPr>
              <w:pStyle w:val="TableContents"/>
              <w:bidi w:val="0"/>
              <w:spacing w:before="0" w:after="0"/>
              <w:ind w:hanging="0" w:start="0" w:end="0"/>
              <w:jc w:val="start"/>
              <w:rPr/>
            </w:pPr>
            <w:r>
              <w:rPr/>
              <w:t>Dec. 2010</w:t>
            </w:r>
          </w:p>
        </w:tc>
        <w:tc>
          <w:tcPr>
            <w:tcW w:w="1929" w:type="dxa"/>
            <w:tcBorders/>
            <w:vAlign w:val="center"/>
          </w:tcPr>
          <w:p>
            <w:pPr>
              <w:pStyle w:val="TableContents"/>
              <w:bidi w:val="0"/>
              <w:spacing w:before="0" w:after="0"/>
              <w:ind w:hanging="0" w:start="0" w:end="0"/>
              <w:jc w:val="start"/>
              <w:rPr/>
            </w:pPr>
            <w:r>
              <w:rPr/>
              <w:t>St Paul’s Academy</w:t>
            </w:r>
          </w:p>
        </w:tc>
        <w:tc>
          <w:tcPr>
            <w:tcW w:w="5767" w:type="dxa"/>
            <w:tcBorders/>
            <w:vAlign w:val="center"/>
          </w:tcPr>
          <w:p>
            <w:pPr>
              <w:pStyle w:val="TableContents"/>
              <w:bidi w:val="0"/>
              <w:spacing w:before="0" w:after="0"/>
              <w:ind w:hanging="0" w:start="0" w:end="0"/>
              <w:jc w:val="start"/>
              <w:rPr/>
            </w:pPr>
            <w:r>
              <w:rPr/>
              <w:t>Solstice String Quartet</w:t>
            </w:r>
          </w:p>
        </w:tc>
      </w:tr>
      <w:tr>
        <w:trPr/>
        <w:tc>
          <w:tcPr>
            <w:tcW w:w="1942" w:type="dxa"/>
            <w:tcBorders/>
            <w:vAlign w:val="center"/>
          </w:tcPr>
          <w:p>
            <w:pPr>
              <w:pStyle w:val="TableContents"/>
              <w:bidi w:val="0"/>
              <w:spacing w:before="0" w:after="0"/>
              <w:ind w:hanging="0" w:start="0" w:end="0"/>
              <w:jc w:val="start"/>
              <w:rPr/>
            </w:pPr>
            <w:r>
              <w:rPr/>
              <w:t>Mar. 2011</w:t>
            </w:r>
          </w:p>
        </w:tc>
        <w:tc>
          <w:tcPr>
            <w:tcW w:w="1929" w:type="dxa"/>
            <w:tcBorders/>
            <w:vAlign w:val="center"/>
          </w:tcPr>
          <w:p>
            <w:pPr>
              <w:pStyle w:val="TableContents"/>
              <w:bidi w:val="0"/>
              <w:spacing w:before="0" w:after="0"/>
              <w:ind w:hanging="0" w:start="0" w:end="0"/>
              <w:jc w:val="start"/>
              <w:rPr/>
            </w:pPr>
            <w:r>
              <w:rPr/>
              <w:t>St John’s Academy</w:t>
            </w:r>
          </w:p>
        </w:tc>
        <w:tc>
          <w:tcPr>
            <w:tcW w:w="5767" w:type="dxa"/>
            <w:tcBorders/>
            <w:vAlign w:val="center"/>
          </w:tcPr>
          <w:p>
            <w:pPr>
              <w:pStyle w:val="TableContents"/>
              <w:bidi w:val="0"/>
              <w:spacing w:before="0" w:after="0"/>
              <w:ind w:hanging="0" w:start="0" w:end="0"/>
              <w:jc w:val="start"/>
              <w:rPr/>
            </w:pPr>
            <w:r>
              <w:rPr/>
              <w:t>Atrium String Quartet</w:t>
            </w:r>
          </w:p>
        </w:tc>
      </w:tr>
      <w:tr>
        <w:trPr/>
        <w:tc>
          <w:tcPr>
            <w:tcW w:w="1942" w:type="dxa"/>
            <w:tcBorders/>
            <w:vAlign w:val="center"/>
          </w:tcPr>
          <w:p>
            <w:pPr>
              <w:pStyle w:val="TableContents"/>
              <w:bidi w:val="0"/>
              <w:spacing w:before="0" w:after="0"/>
              <w:ind w:hanging="0" w:start="0" w:end="0"/>
              <w:jc w:val="start"/>
              <w:rPr/>
            </w:pPr>
            <w:r>
              <w:rPr/>
              <w:t>Dec. 2011</w:t>
            </w:r>
          </w:p>
        </w:tc>
        <w:tc>
          <w:tcPr>
            <w:tcW w:w="1929" w:type="dxa"/>
            <w:tcBorders/>
            <w:vAlign w:val="center"/>
          </w:tcPr>
          <w:p>
            <w:pPr>
              <w:pStyle w:val="TableContents"/>
              <w:bidi w:val="0"/>
              <w:spacing w:before="0" w:after="0"/>
              <w:ind w:hanging="0" w:start="0" w:end="0"/>
              <w:jc w:val="start"/>
              <w:rPr/>
            </w:pPr>
            <w:r>
              <w:rPr/>
              <w:t>Grove Academy,</w:t>
              <w:br/>
              <w:t>Harris Academy</w:t>
            </w:r>
          </w:p>
        </w:tc>
        <w:tc>
          <w:tcPr>
            <w:tcW w:w="5767" w:type="dxa"/>
            <w:tcBorders/>
            <w:vAlign w:val="center"/>
          </w:tcPr>
          <w:p>
            <w:pPr>
              <w:pStyle w:val="TableContents"/>
              <w:bidi w:val="0"/>
              <w:spacing w:before="0" w:after="0"/>
              <w:ind w:hanging="0" w:start="0" w:end="0"/>
              <w:jc w:val="start"/>
              <w:rPr/>
            </w:pPr>
            <w:r>
              <w:rPr/>
              <w:t>Pure Brass</w:t>
            </w:r>
          </w:p>
        </w:tc>
      </w:tr>
      <w:tr>
        <w:trPr/>
        <w:tc>
          <w:tcPr>
            <w:tcW w:w="1942" w:type="dxa"/>
            <w:tcBorders/>
            <w:vAlign w:val="center"/>
          </w:tcPr>
          <w:p>
            <w:pPr>
              <w:pStyle w:val="TableContents"/>
              <w:bidi w:val="0"/>
              <w:spacing w:before="0" w:after="0"/>
              <w:ind w:hanging="0" w:start="0" w:end="0"/>
              <w:jc w:val="start"/>
              <w:rPr/>
            </w:pPr>
            <w:r>
              <w:rPr/>
              <w:t>Jan. 2013</w:t>
            </w:r>
          </w:p>
        </w:tc>
        <w:tc>
          <w:tcPr>
            <w:tcW w:w="1929" w:type="dxa"/>
            <w:tcBorders/>
            <w:vAlign w:val="center"/>
          </w:tcPr>
          <w:p>
            <w:pPr>
              <w:pStyle w:val="TableContents"/>
              <w:bidi w:val="0"/>
              <w:spacing w:before="0" w:after="0"/>
              <w:ind w:hanging="0" w:start="0" w:end="0"/>
              <w:jc w:val="start"/>
              <w:rPr/>
            </w:pPr>
            <w:r>
              <w:rPr/>
              <w:t>Monifieth High,</w:t>
              <w:br/>
              <w:t>Dundee High</w:t>
            </w:r>
          </w:p>
        </w:tc>
        <w:tc>
          <w:tcPr>
            <w:tcW w:w="5767" w:type="dxa"/>
            <w:tcBorders/>
            <w:vAlign w:val="center"/>
          </w:tcPr>
          <w:p>
            <w:pPr>
              <w:pStyle w:val="TableContents"/>
              <w:bidi w:val="0"/>
              <w:spacing w:before="0" w:after="0"/>
              <w:ind w:hanging="0" w:start="0" w:end="0"/>
              <w:jc w:val="start"/>
              <w:rPr/>
            </w:pPr>
            <w:r>
              <w:rPr/>
              <w:t>Navarra String Quartet</w:t>
            </w:r>
          </w:p>
        </w:tc>
      </w:tr>
      <w:tr>
        <w:trPr/>
        <w:tc>
          <w:tcPr>
            <w:tcW w:w="1942" w:type="dxa"/>
            <w:tcBorders/>
            <w:vAlign w:val="center"/>
          </w:tcPr>
          <w:p>
            <w:pPr>
              <w:pStyle w:val="TableContents"/>
              <w:bidi w:val="0"/>
              <w:spacing w:before="0" w:after="0"/>
              <w:ind w:hanging="0" w:start="0" w:end="0"/>
              <w:jc w:val="start"/>
              <w:rPr/>
            </w:pPr>
            <w:r>
              <w:rPr/>
              <w:t>Feb. 2014</w:t>
            </w:r>
          </w:p>
        </w:tc>
        <w:tc>
          <w:tcPr>
            <w:tcW w:w="1929" w:type="dxa"/>
            <w:tcBorders/>
            <w:vAlign w:val="center"/>
          </w:tcPr>
          <w:p>
            <w:pPr>
              <w:pStyle w:val="TableContents"/>
              <w:bidi w:val="0"/>
              <w:spacing w:before="0" w:after="0"/>
              <w:ind w:hanging="0" w:start="0" w:end="0"/>
              <w:jc w:val="start"/>
              <w:rPr/>
            </w:pPr>
            <w:r>
              <w:rPr/>
              <w:t>St Paul’s Academy,</w:t>
              <w:br/>
              <w:t>Menzieshill High</w:t>
            </w:r>
          </w:p>
        </w:tc>
        <w:tc>
          <w:tcPr>
            <w:tcW w:w="5767" w:type="dxa"/>
            <w:tcBorders/>
            <w:vAlign w:val="center"/>
          </w:tcPr>
          <w:p>
            <w:pPr>
              <w:pStyle w:val="TableContents"/>
              <w:bidi w:val="0"/>
              <w:spacing w:before="0" w:after="0"/>
              <w:ind w:hanging="0" w:start="0" w:end="0"/>
              <w:jc w:val="start"/>
              <w:rPr/>
            </w:pPr>
            <w:r>
              <w:rPr/>
              <w:t>Doric String Quartet</w:t>
            </w:r>
          </w:p>
        </w:tc>
      </w:tr>
      <w:tr>
        <w:trPr/>
        <w:tc>
          <w:tcPr>
            <w:tcW w:w="1942" w:type="dxa"/>
            <w:tcBorders/>
            <w:vAlign w:val="center"/>
          </w:tcPr>
          <w:p>
            <w:pPr>
              <w:pStyle w:val="TableContents"/>
              <w:bidi w:val="0"/>
              <w:spacing w:before="0" w:after="0"/>
              <w:ind w:hanging="0" w:start="0" w:end="0"/>
              <w:jc w:val="start"/>
              <w:rPr/>
            </w:pPr>
            <w:r>
              <w:rPr/>
              <w:t>Feb. 2015</w:t>
            </w:r>
          </w:p>
        </w:tc>
        <w:tc>
          <w:tcPr>
            <w:tcW w:w="1929" w:type="dxa"/>
            <w:tcBorders/>
            <w:vAlign w:val="center"/>
          </w:tcPr>
          <w:p>
            <w:pPr>
              <w:pStyle w:val="TableContents"/>
              <w:bidi w:val="0"/>
              <w:spacing w:before="0" w:after="0"/>
              <w:ind w:hanging="0" w:start="0" w:end="0"/>
              <w:jc w:val="start"/>
              <w:rPr/>
            </w:pPr>
            <w:r>
              <w:rPr/>
              <w:t>Dundee Council</w:t>
              <w:br/>
              <w:t>Music Education</w:t>
            </w:r>
          </w:p>
        </w:tc>
        <w:tc>
          <w:tcPr>
            <w:tcW w:w="5767" w:type="dxa"/>
            <w:tcBorders/>
            <w:vAlign w:val="center"/>
          </w:tcPr>
          <w:p>
            <w:pPr>
              <w:pStyle w:val="TableContents"/>
              <w:bidi w:val="0"/>
              <w:spacing w:before="0" w:after="0"/>
              <w:ind w:hanging="0" w:start="0" w:end="0"/>
              <w:jc w:val="start"/>
              <w:rPr/>
            </w:pPr>
            <w:r>
              <w:rPr/>
              <w:t>Scottish Chamber Orchestra, Wind Soloists (Alison Green, Bassoonist)</w:t>
            </w:r>
          </w:p>
        </w:tc>
      </w:tr>
      <w:tr>
        <w:trPr/>
        <w:tc>
          <w:tcPr>
            <w:tcW w:w="1942" w:type="dxa"/>
            <w:tcBorders/>
            <w:vAlign w:val="center"/>
          </w:tcPr>
          <w:p>
            <w:pPr>
              <w:pStyle w:val="TableContents"/>
              <w:bidi w:val="0"/>
              <w:spacing w:before="0" w:after="0"/>
              <w:ind w:hanging="0" w:start="0" w:end="0"/>
              <w:jc w:val="start"/>
              <w:rPr/>
            </w:pPr>
            <w:r>
              <w:rPr/>
              <w:t>Dec. 2016</w:t>
            </w:r>
          </w:p>
        </w:tc>
        <w:tc>
          <w:tcPr>
            <w:tcW w:w="1929" w:type="dxa"/>
            <w:tcBorders/>
            <w:vAlign w:val="center"/>
          </w:tcPr>
          <w:p>
            <w:pPr>
              <w:pStyle w:val="TableContents"/>
              <w:bidi w:val="0"/>
              <w:spacing w:before="0" w:after="0"/>
              <w:ind w:hanging="0" w:start="0" w:end="0"/>
              <w:jc w:val="start"/>
              <w:rPr/>
            </w:pPr>
            <w:r>
              <w:rPr/>
              <w:t>Grove Academy</w:t>
            </w:r>
          </w:p>
        </w:tc>
        <w:tc>
          <w:tcPr>
            <w:tcW w:w="5767" w:type="dxa"/>
            <w:tcBorders/>
            <w:vAlign w:val="center"/>
          </w:tcPr>
          <w:p>
            <w:pPr>
              <w:pStyle w:val="TableContents"/>
              <w:bidi w:val="0"/>
              <w:spacing w:before="0" w:after="0"/>
              <w:ind w:hanging="0" w:start="0" w:end="0"/>
              <w:jc w:val="start"/>
              <w:rPr/>
            </w:pPr>
            <w:r>
              <w:rPr/>
              <w:t>Maxwell Quartet</w:t>
            </w:r>
          </w:p>
        </w:tc>
      </w:tr>
      <w:tr>
        <w:trPr/>
        <w:tc>
          <w:tcPr>
            <w:tcW w:w="1942" w:type="dxa"/>
            <w:tcBorders/>
            <w:vAlign w:val="center"/>
          </w:tcPr>
          <w:p>
            <w:pPr>
              <w:pStyle w:val="TableContents"/>
              <w:bidi w:val="0"/>
              <w:spacing w:before="0" w:after="0"/>
              <w:ind w:hanging="0" w:start="0" w:end="0"/>
              <w:jc w:val="start"/>
              <w:rPr/>
            </w:pPr>
            <w:r>
              <w:rPr/>
              <w:t>Feb. 2018</w:t>
            </w:r>
          </w:p>
        </w:tc>
        <w:tc>
          <w:tcPr>
            <w:tcW w:w="1929" w:type="dxa"/>
            <w:tcBorders/>
            <w:vAlign w:val="center"/>
          </w:tcPr>
          <w:p>
            <w:pPr>
              <w:pStyle w:val="TableContents"/>
              <w:bidi w:val="0"/>
              <w:spacing w:before="0" w:after="0"/>
              <w:ind w:hanging="0" w:start="0" w:end="0"/>
              <w:jc w:val="start"/>
              <w:rPr/>
            </w:pPr>
            <w:r>
              <w:rPr/>
              <w:t>Claypotts Castle PS</w:t>
            </w:r>
          </w:p>
        </w:tc>
        <w:tc>
          <w:tcPr>
            <w:tcW w:w="5767" w:type="dxa"/>
            <w:tcBorders/>
            <w:vAlign w:val="center"/>
          </w:tcPr>
          <w:p>
            <w:pPr>
              <w:pStyle w:val="TableContents"/>
              <w:bidi w:val="0"/>
              <w:spacing w:before="0" w:after="0"/>
              <w:ind w:hanging="0" w:start="0" w:end="0"/>
              <w:jc w:val="start"/>
              <w:rPr/>
            </w:pPr>
            <w:r>
              <w:rPr/>
              <w:t>Cavendish Ensemble</w:t>
            </w:r>
          </w:p>
        </w:tc>
      </w:tr>
      <w:tr>
        <w:trPr/>
        <w:tc>
          <w:tcPr>
            <w:tcW w:w="1942" w:type="dxa"/>
            <w:tcBorders/>
            <w:vAlign w:val="center"/>
          </w:tcPr>
          <w:p>
            <w:pPr>
              <w:pStyle w:val="TableContents"/>
              <w:bidi w:val="0"/>
              <w:spacing w:before="0" w:after="0"/>
              <w:ind w:hanging="0" w:start="0" w:end="0"/>
              <w:jc w:val="start"/>
              <w:rPr/>
            </w:pPr>
            <w:r>
              <w:rPr/>
              <w:t>Feb. 2019</w:t>
            </w:r>
          </w:p>
        </w:tc>
        <w:tc>
          <w:tcPr>
            <w:tcW w:w="1929" w:type="dxa"/>
            <w:tcBorders/>
            <w:vAlign w:val="center"/>
          </w:tcPr>
          <w:p>
            <w:pPr>
              <w:pStyle w:val="TableContents"/>
              <w:bidi w:val="0"/>
              <w:spacing w:before="0" w:after="0"/>
              <w:ind w:hanging="0" w:start="0" w:end="0"/>
              <w:jc w:val="start"/>
              <w:rPr/>
            </w:pPr>
            <w:r>
              <w:rPr/>
              <w:t>Victoria Park PS</w:t>
            </w:r>
          </w:p>
        </w:tc>
        <w:tc>
          <w:tcPr>
            <w:tcW w:w="5767" w:type="dxa"/>
            <w:tcBorders/>
            <w:vAlign w:val="center"/>
          </w:tcPr>
          <w:p>
            <w:pPr>
              <w:pStyle w:val="TableContents"/>
              <w:bidi w:val="0"/>
              <w:spacing w:before="0" w:after="0"/>
              <w:jc w:val="start"/>
              <w:rPr/>
            </w:pPr>
            <w:r>
              <w:rPr/>
              <w:t>Rautio Piano Trio</w:t>
            </w:r>
          </w:p>
        </w:tc>
      </w:tr>
    </w:tbl>
    <w:p>
      <w:pPr>
        <w:pStyle w:val="Heading2"/>
        <w:widowControl/>
        <w:pBdr/>
        <w:bidi w:val="0"/>
        <w:spacing w:before="0" w:after="0"/>
        <w:ind w:hanging="0" w:start="0" w:end="0"/>
        <w:jc w:val="start"/>
        <w:rPr>
          <w:rFonts w:ascii="Cinzel" w:hAnsi="Cinzel"/>
          <w:b w:val="false"/>
          <w:i w:val="false"/>
          <w:caps w:val="false"/>
          <w:smallCaps w:val="false"/>
          <w:color w:val="214478"/>
        </w:rPr>
      </w:pPr>
      <w:r>
        <w:rPr>
          <w:rFonts w:ascii="Cinzel" w:hAnsi="Cinzel"/>
          <w:b w:val="false"/>
          <w:i w:val="false"/>
          <w:caps w:val="false"/>
          <w:smallCaps w:val="false"/>
          <w:color w:val="214478"/>
        </w:rPr>
        <w:t>Financial Support</w:t>
      </w:r>
    </w:p>
    <w:p>
      <w:pPr>
        <w:pStyle w:val="BodyText"/>
        <w:widowControl/>
        <w:pBdr/>
        <w:bidi w:val="0"/>
        <w:spacing w:lineRule="atLeast" w:line="190" w:before="200" w:after="0"/>
        <w:ind w:hanging="0" w:start="0" w:end="0"/>
        <w:jc w:val="start"/>
        <w:rPr>
          <w:rFonts w:ascii="Roboto;sans-serif" w:hAnsi="Roboto;sans-serif"/>
          <w:b w:val="false"/>
          <w:i w:val="false"/>
          <w:caps w:val="false"/>
          <w:smallCaps w:val="false"/>
          <w:color w:val="214478"/>
          <w:spacing w:val="0"/>
          <w:sz w:val="16"/>
        </w:rPr>
      </w:pPr>
      <w:r>
        <w:rPr>
          <w:rFonts w:ascii="Roboto;sans-serif" w:hAnsi="Roboto;sans-serif"/>
          <w:b w:val="false"/>
          <w:i w:val="false"/>
          <w:caps w:val="false"/>
          <w:smallCaps w:val="false"/>
          <w:color w:val="214478"/>
          <w:spacing w:val="0"/>
          <w:sz w:val="16"/>
        </w:rPr>
        <w:t>Dundee Chamber Music is most grateful to the Leng Charitable Trust which financed our workshops until 2008. The William Leng Fund and Enterprise Music Scotland have also given us generous support from time to time. The workshop held in February 2015 was financed by SCO Connect and Dundee City Council. Workshops since then have been financed by a donation from two of our members.</w:t>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Cinzel">
    <w:charset w:val="00" w:characterSet="windows-1252"/>
    <w:family w:val="auto"/>
    <w:pitch w:val="default"/>
  </w:font>
  <w:font w:name="Roboto">
    <w:altName w:val="sans-serif"/>
    <w:charset w:val="00" w:characterSet="windows-1252"/>
    <w:family w:val="auto"/>
    <w:pitch w:val="default"/>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GB" w:eastAsia="zh-CN" w:bidi="hi-IN"/>
    </w:rPr>
  </w:style>
  <w:style w:type="paragraph" w:styleId="Heading2">
    <w:name w:val="Heading 2"/>
    <w:basedOn w:val="Heading"/>
    <w:next w:val="BodyText"/>
    <w:qFormat/>
    <w:pPr>
      <w:numPr>
        <w:ilvl w:val="0"/>
        <w:numId w:val="0"/>
      </w:numPr>
      <w:spacing w:before="200" w:after="120"/>
      <w:outlineLvl w:val="1"/>
    </w:pPr>
    <w:rPr>
      <w:rFonts w:ascii="Liberation Serif" w:hAnsi="Liberation Serif" w:eastAsia="NSimSun" w:cs="Arial"/>
      <w:b/>
      <w:bCs/>
      <w:sz w:val="36"/>
      <w:szCs w:val="36"/>
    </w:rPr>
  </w:style>
  <w:style w:type="paragraph" w:styleId="Heading3">
    <w:name w:val="Heading 3"/>
    <w:basedOn w:val="Heading"/>
    <w:next w:val="BodyText"/>
    <w:qFormat/>
    <w:pPr>
      <w:numPr>
        <w:ilvl w:val="0"/>
        <w:numId w:val="0"/>
      </w:numPr>
      <w:spacing w:before="140" w:after="120"/>
      <w:outlineLvl w:val="2"/>
    </w:pPr>
    <w:rPr>
      <w:rFonts w:ascii="Liberation Serif" w:hAnsi="Liberation Serif" w:eastAsia="NSimSun" w:cs="Arial"/>
      <w:b/>
      <w:bCs/>
      <w:sz w:val="28"/>
      <w:szCs w:val="28"/>
    </w:rPr>
  </w:style>
  <w:style w:type="character" w:styleId="Emphasis">
    <w:name w:val="Emphasis"/>
    <w:qFormat/>
    <w:rPr>
      <w:i/>
      <w:iCs/>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LibreOffice/24.2.4.2$Windows_X86_64 LibreOffice_project/51a6219feb6075d9a4c46691dcfe0cd9c4fff3c2</Application>
  <AppVersion>15.0000</AppVersion>
  <Pages>2</Pages>
  <Words>661</Words>
  <Characters>3516</Characters>
  <CharactersWithSpaces>4098</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2024-03-25T11:43:19Z</dcterms:created>
  <dc:creator/>
  <dc:description/>
  <dc:language>en-GB</dc:language>
  <cp:lastModifiedBy/>
  <dcterms:modified xsi:type="dcterms:W3CDTF">2024-09-09T12:05:34Z</dcterms:modified>
  <cp:revision>3</cp:revision>
  <dc:subject/>
  <dc:title/>
</cp:coreProperties>
</file>